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CB739F" w:rsidP="00D37F28">
      <w:pPr>
        <w:pStyle w:val="Heading9"/>
        <w:jc w:val="right"/>
        <w:rPr>
          <w:rFonts w:ascii="GHEA Grapalat" w:hAnsi="GHEA Grapalat"/>
          <w:szCs w:val="22"/>
          <w:lang w:val="af-ZA"/>
        </w:rPr>
      </w:pPr>
      <w:r>
        <w:rPr>
          <w:rFonts w:ascii="GHEA Grapalat" w:hAnsi="GHEA Grapalat"/>
          <w:szCs w:val="22"/>
          <w:lang w:val="af-ZA"/>
        </w:rPr>
        <w:t xml:space="preserve">№178/GArm/26_5.4_017/18.05.26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CB739F" w:rsidRPr="00A86FD1">
        <w:rPr>
          <w:rFonts w:ascii="GHEA Grapalat" w:hAnsi="GHEA Grapalat"/>
          <w:bCs/>
          <w:szCs w:val="22"/>
          <w:lang w:val="hy-AM"/>
        </w:rPr>
        <w:t>18</w:t>
      </w:r>
      <w:r w:rsidR="00B65670" w:rsidRPr="00752AC3">
        <w:rPr>
          <w:rFonts w:ascii="GHEA Grapalat" w:hAnsi="GHEA Grapalat"/>
          <w:bCs/>
          <w:szCs w:val="22"/>
          <w:lang w:val="hy-AM"/>
        </w:rPr>
        <w:t>.</w:t>
      </w:r>
      <w:r w:rsidR="00F66A15">
        <w:rPr>
          <w:rFonts w:ascii="GHEA Grapalat" w:hAnsi="GHEA Grapalat"/>
          <w:bCs/>
          <w:szCs w:val="22"/>
          <w:lang w:val="hy-AM"/>
        </w:rPr>
        <w:t>0</w:t>
      </w:r>
      <w:r w:rsidR="00CB739F" w:rsidRPr="00A86FD1">
        <w:rPr>
          <w:rFonts w:ascii="GHEA Grapalat" w:hAnsi="GHEA Grapalat"/>
          <w:bCs/>
          <w:szCs w:val="22"/>
          <w:lang w:val="hy-AM"/>
        </w:rPr>
        <w:t>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F26F23" w:rsidP="00851F8B">
      <w:pPr>
        <w:pStyle w:val="BodyText"/>
        <w:ind w:right="-7"/>
        <w:jc w:val="center"/>
        <w:rPr>
          <w:rFonts w:ascii="GHEA Grapalat" w:hAnsi="GHEA Grapalat"/>
          <w:lang w:val="af-ZA"/>
        </w:rPr>
      </w:pPr>
      <w:r w:rsidRPr="00F26F23">
        <w:rPr>
          <w:rFonts w:ascii="GHEA Grapalat" w:hAnsi="GHEA Grapalat"/>
          <w:b/>
          <w:szCs w:val="28"/>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CE5EF7" w:rsidRPr="00CE5EF7">
        <w:rPr>
          <w:rFonts w:ascii="GHEA Grapalat" w:hAnsi="GHEA Grapalat"/>
          <w:b/>
          <w:szCs w:val="28"/>
          <w:lang w:val="hy-AM"/>
        </w:rPr>
        <w:t xml:space="preserve"> </w:t>
      </w:r>
      <w:r w:rsidR="009C5932" w:rsidRPr="009C5932">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F26F23" w:rsidP="00FA0B62">
      <w:pPr>
        <w:pStyle w:val="Heading9"/>
        <w:rPr>
          <w:rFonts w:ascii="GHEA Grapalat" w:hAnsi="GHEA Grapalat" w:cs="Sylfaen"/>
          <w:bCs/>
          <w:szCs w:val="22"/>
          <w:lang w:val="af-ZA"/>
        </w:rPr>
      </w:pPr>
      <w:r w:rsidRPr="00F26F23">
        <w:rPr>
          <w:rFonts w:ascii="GHEA Grapalat" w:hAnsi="GHEA Grapalat"/>
          <w:szCs w:val="28"/>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CE5EF7" w:rsidRPr="00CE5EF7">
        <w:rPr>
          <w:rFonts w:ascii="GHEA Grapalat" w:hAnsi="GHEA Grapalat"/>
          <w:szCs w:val="28"/>
          <w:lang w:val="hy-AM"/>
        </w:rPr>
        <w:t xml:space="preserve"> </w:t>
      </w:r>
      <w:r w:rsidR="009C5932" w:rsidRPr="009C5932">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F26F23" w:rsidRPr="00F26F23">
        <w:rPr>
          <w:rFonts w:ascii="GHEA Grapalat" w:hAnsi="GHEA Grapalat" w:cs="Sylfaen"/>
          <w:bCs/>
          <w:sz w:val="20"/>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F26F23" w:rsidRPr="00F26F23">
        <w:rPr>
          <w:rFonts w:ascii="GHEA Grapalat" w:hAnsi="GHEA Grapalat" w:cs="Sylfaen"/>
          <w:bCs/>
          <w:sz w:val="20"/>
          <w:lang w:val="af-ZA"/>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CB739F">
        <w:rPr>
          <w:rFonts w:ascii="GHEA Grapalat" w:hAnsi="GHEA Grapalat" w:cs="Sylfaen"/>
          <w:b w:val="0"/>
          <w:sz w:val="20"/>
          <w:lang w:val="af-ZA"/>
        </w:rPr>
        <w:t xml:space="preserve">№178/GArm/26_5.4_017/18.05.26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A86FD1"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A86FD1" w:rsidTr="009A7813">
        <w:trPr>
          <w:trHeight w:val="1799"/>
        </w:trPr>
        <w:tc>
          <w:tcPr>
            <w:tcW w:w="4395" w:type="dxa"/>
            <w:vAlign w:val="center"/>
          </w:tcPr>
          <w:p w:rsidR="000A3461" w:rsidRPr="004E533F" w:rsidRDefault="00F26F23" w:rsidP="00CE5EF7">
            <w:pPr>
              <w:jc w:val="both"/>
              <w:rPr>
                <w:rFonts w:ascii="GHEA Grapalat" w:hAnsi="GHEA Grapalat"/>
                <w:b/>
                <w:color w:val="000000"/>
                <w:sz w:val="20"/>
                <w:szCs w:val="20"/>
                <w:lang w:val="hy-AM" w:eastAsia="ru-RU"/>
              </w:rPr>
            </w:pPr>
            <w:r w:rsidRPr="00F26F23">
              <w:rPr>
                <w:rFonts w:ascii="GHEA Grapalat" w:hAnsi="GHEA Grapalat"/>
                <w:b/>
                <w:color w:val="000000"/>
                <w:sz w:val="20"/>
                <w:szCs w:val="20"/>
                <w:lang w:val="hy-AM" w:eastAsia="ru-RU"/>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CE5EF7">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052524" w:rsidP="00052524">
            <w:pPr>
              <w:pStyle w:val="BodyTextIndent2"/>
              <w:spacing w:line="276" w:lineRule="auto"/>
              <w:rPr>
                <w:rFonts w:ascii="GHEA Grapalat" w:hAnsi="GHEA Grapalat"/>
                <w:b/>
                <w:color w:val="000000"/>
                <w:lang w:val="hy-AM" w:eastAsia="ru-RU"/>
              </w:rPr>
            </w:pPr>
            <w:r w:rsidRPr="00052524">
              <w:rPr>
                <w:rFonts w:ascii="GHEA Grapalat" w:hAnsi="GHEA Grapalat"/>
                <w:b/>
                <w:color w:val="000000"/>
                <w:lang w:val="hy-AM" w:eastAsia="ru-RU"/>
              </w:rPr>
              <w:t>Ջերմագազամատակարարում և Օդափոխություն (Օդափոխության, Ջեռուցման և Օդի 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F26F23" w:rsidRPr="00F26F23">
        <w:rPr>
          <w:rFonts w:ascii="GHEA Grapalat" w:hAnsi="GHEA Grapalat" w:cs="Sylfaen"/>
          <w:b/>
          <w:bCs/>
          <w:sz w:val="20"/>
          <w:szCs w:val="20"/>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CE5EF7" w:rsidRPr="00CE5EF7">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F26F23" w:rsidRPr="00F26F23">
        <w:rPr>
          <w:rFonts w:ascii="GHEA Grapalat" w:hAnsi="GHEA Grapalat" w:cs="Sylfaen"/>
          <w:b/>
          <w:bCs/>
          <w:sz w:val="20"/>
          <w:szCs w:val="20"/>
          <w:lang w:val="hy-AM"/>
        </w:rPr>
        <w:t xml:space="preserve">«Շիրակի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w:t>
      </w:r>
      <w:r w:rsidR="00A77010" w:rsidRPr="00441AA9">
        <w:rPr>
          <w:rFonts w:ascii="GHEA Grapalat" w:hAnsi="GHEA Grapalat"/>
          <w:sz w:val="20"/>
          <w:szCs w:val="20"/>
          <w:lang w:val="af-ZA"/>
        </w:rPr>
        <w:lastRenderedPageBreak/>
        <w:t xml:space="preserve">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w:t>
      </w:r>
      <w:r w:rsidRPr="005C020A">
        <w:rPr>
          <w:rFonts w:ascii="GHEA Grapalat" w:hAnsi="GHEA Grapalat" w:cs="Arial Armenian"/>
          <w:sz w:val="20"/>
          <w:szCs w:val="20"/>
          <w:lang w:val="es-ES"/>
        </w:rPr>
        <w:lastRenderedPageBreak/>
        <w:t>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Մրցակցային ընտրո</w:t>
      </w:r>
      <w:bookmarkStart w:id="0" w:name="_GoBack"/>
      <w:bookmarkEnd w:id="0"/>
      <w:r w:rsidRPr="00942D95">
        <w:rPr>
          <w:rFonts w:ascii="GHEA Grapalat" w:hAnsi="GHEA Grapalat" w:cs="Arial Armenian"/>
          <w:lang w:val="hy-AM" w:eastAsia="ru-RU"/>
        </w:rPr>
        <w:t xml:space="preserve">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A86FD1" w:rsidRPr="00A86FD1">
        <w:rPr>
          <w:rFonts w:ascii="GHEA Grapalat" w:hAnsi="GHEA Grapalat" w:cs="Arial Armenian"/>
          <w:b/>
          <w:lang w:val="hy-AM" w:eastAsia="ru-RU"/>
        </w:rPr>
        <w:t>հունիսի</w:t>
      </w:r>
      <w:r w:rsidR="00965222" w:rsidRPr="00942D95">
        <w:rPr>
          <w:rFonts w:ascii="GHEA Grapalat" w:hAnsi="GHEA Grapalat" w:cs="Arial Armenian"/>
          <w:b/>
          <w:lang w:val="hy-AM" w:eastAsia="ru-RU"/>
        </w:rPr>
        <w:t xml:space="preserve"> </w:t>
      </w:r>
      <w:r w:rsidR="005C0BCB" w:rsidRPr="005C0BCB">
        <w:rPr>
          <w:rFonts w:ascii="GHEA Grapalat" w:hAnsi="GHEA Grapalat" w:cs="Arial Armenian"/>
          <w:b/>
          <w:lang w:val="hy-AM" w:eastAsia="ru-RU"/>
        </w:rPr>
        <w:t>3</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lastRenderedPageBreak/>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F26F23" w:rsidRPr="00EE195D" w:rsidTr="00552E87">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r>
      <w:tr w:rsidR="00F26F23"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r>
      <w:tr w:rsidR="00F26F23"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r>
      <w:tr w:rsidR="00F26F23"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r>
      <w:tr w:rsidR="00F26F23"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r>
      <w:tr w:rsidR="00F26F23" w:rsidRPr="00EE195D" w:rsidTr="00552E87">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r>
      <w:tr w:rsidR="00F26F23" w:rsidRPr="00EE195D" w:rsidTr="00552E8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r>
      <w:tr w:rsidR="00F26F23" w:rsidRPr="00EE195D" w:rsidTr="00552E8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F26F23"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F26F23" w:rsidRPr="00EE195D" w:rsidRDefault="00F26F23" w:rsidP="00F26F23">
            <w:pP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r w:rsidRPr="00EE195D">
              <w:rPr>
                <w:rFonts w:ascii="Calibri" w:hAnsi="Calibri" w:cs="Calibri"/>
                <w:color w:val="000000"/>
                <w:sz w:val="20"/>
                <w:szCs w:val="20"/>
              </w:rPr>
              <w:t> </w:t>
            </w:r>
          </w:p>
        </w:tc>
      </w:tr>
      <w:tr w:rsidR="00F26F23"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p>
        </w:tc>
      </w:tr>
      <w:tr w:rsidR="00F26F23"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p>
        </w:tc>
      </w:tr>
      <w:tr w:rsidR="00F26F23"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F26F23" w:rsidRPr="00EE195D" w:rsidRDefault="00F26F23" w:rsidP="00F26F23">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F26F23" w:rsidRDefault="00F26F23" w:rsidP="00F26F23">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F26F23" w:rsidRDefault="00F26F23" w:rsidP="00F26F23">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F26F23" w:rsidRPr="00EE195D" w:rsidRDefault="00F26F23" w:rsidP="00F26F23">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28114E" w:rsidRDefault="0028114E"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CB739F">
        <w:rPr>
          <w:rFonts w:ascii="GHEA Grapalat" w:hAnsi="GHEA Grapalat" w:cs="Sylfaen"/>
          <w:b/>
          <w:i w:val="0"/>
          <w:lang w:val="es-ES"/>
        </w:rPr>
        <w:t xml:space="preserve">№178/GArm/26_5.4_017/18.05.26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CB739F">
        <w:rPr>
          <w:rFonts w:ascii="GHEA Grapalat" w:hAnsi="GHEA Grapalat" w:cs="Arial"/>
          <w:sz w:val="18"/>
          <w:szCs w:val="18"/>
          <w:lang w:val="hy-AM"/>
        </w:rPr>
        <w:t xml:space="preserve">№178/GArm/26_5.4_017/18.05.26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CB739F">
        <w:rPr>
          <w:rFonts w:ascii="GHEA Grapalat" w:hAnsi="GHEA Grapalat" w:cs="Sylfaen"/>
          <w:sz w:val="18"/>
          <w:szCs w:val="18"/>
          <w:lang w:val="hy-AM"/>
        </w:rPr>
        <w:t xml:space="preserve">№178/GArm/26_5.4_017/18.05.26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CB739F"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№178/GArm/26_5.4_017/18.05.26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CB739F"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№178/GArm/26_5.4_017/18.05.26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CB739F" w:rsidP="008B4ECA">
      <w:pPr>
        <w:pStyle w:val="Heading9"/>
        <w:jc w:val="right"/>
        <w:rPr>
          <w:rFonts w:ascii="GHEA Grapalat" w:hAnsi="GHEA Grapalat" w:cs="Sylfaen"/>
          <w:sz w:val="20"/>
        </w:rPr>
      </w:pPr>
      <w:r>
        <w:rPr>
          <w:rFonts w:ascii="GHEA Grapalat" w:hAnsi="GHEA Grapalat" w:cs="Sylfaen"/>
          <w:sz w:val="20"/>
        </w:rPr>
        <w:t xml:space="preserve">№178/GArm/26_5.4_017/18.05.26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CB739F">
        <w:rPr>
          <w:rFonts w:ascii="GHEA Grapalat" w:hAnsi="GHEA Grapalat"/>
          <w:b/>
          <w:lang w:val="af-ZA"/>
        </w:rPr>
        <w:t xml:space="preserve">№178/GArm/26_5.4_017/18.05.26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A86FD1"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CB739F">
        <w:rPr>
          <w:rFonts w:ascii="GHEA Grapalat" w:hAnsi="GHEA Grapalat"/>
          <w:b/>
          <w:lang w:val="af-ZA"/>
        </w:rPr>
        <w:t xml:space="preserve">№178/GArm/26_5.4_017/18.05.26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CB739F">
        <w:rPr>
          <w:rFonts w:ascii="GHEA Grapalat" w:hAnsi="GHEA Grapalat"/>
          <w:sz w:val="20"/>
          <w:lang w:val="af-ZA"/>
        </w:rPr>
        <w:t xml:space="preserve">№178/GArm/26_5.4_017/18.05.26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CB739F">
        <w:rPr>
          <w:rFonts w:ascii="GHEA Grapalat" w:hAnsi="GHEA Grapalat"/>
          <w:b/>
          <w:sz w:val="18"/>
          <w:szCs w:val="18"/>
          <w:lang w:val="af-ZA"/>
        </w:rPr>
        <w:t xml:space="preserve">№178/GArm/26_5.4_017/18.05.26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A86FD1"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A86FD1"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F26F23" w:rsidP="000A3A33">
            <w:pPr>
              <w:pStyle w:val="BodyText"/>
              <w:ind w:right="-7"/>
              <w:jc w:val="both"/>
              <w:rPr>
                <w:rFonts w:ascii="GHEA Grapalat" w:hAnsi="GHEA Grapalat"/>
                <w:sz w:val="20"/>
                <w:szCs w:val="20"/>
                <w:lang w:val="es-ES"/>
              </w:rPr>
            </w:pPr>
            <w:r w:rsidRPr="00F26F23">
              <w:rPr>
                <w:rFonts w:ascii="GHEA Grapalat" w:hAnsi="GHEA Grapalat"/>
                <w:b/>
                <w:sz w:val="20"/>
                <w:szCs w:val="20"/>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Pr="00F26F23">
              <w:rPr>
                <w:rFonts w:ascii="GHEA Grapalat" w:hAnsi="GHEA Grapalat"/>
                <w:b/>
                <w:sz w:val="20"/>
                <w:szCs w:val="20"/>
                <w:lang w:val="es-ES"/>
              </w:rPr>
              <w:t xml:space="preserve"> </w:t>
            </w:r>
            <w:r w:rsidR="00EF3DDD"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F26F23">
      <w:pPr>
        <w:pStyle w:val="BodyTextIndent"/>
        <w:ind w:firstLine="0"/>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CB739F">
        <w:rPr>
          <w:rFonts w:ascii="GHEA Grapalat" w:hAnsi="GHEA Grapalat"/>
          <w:sz w:val="20"/>
          <w:lang w:val="af-ZA"/>
        </w:rPr>
        <w:t xml:space="preserve">№178/GArm/26_5.4_017/18.05.26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F26F23" w:rsidP="001871AB">
      <w:pPr>
        <w:jc w:val="center"/>
        <w:rPr>
          <w:rFonts w:ascii="GHEA Grapalat" w:hAnsi="GHEA Grapalat"/>
          <w:b/>
          <w:i/>
          <w:sz w:val="22"/>
          <w:szCs w:val="22"/>
          <w:lang w:val="hy-AM"/>
        </w:rPr>
      </w:pPr>
      <w:r w:rsidRPr="00F26F23">
        <w:rPr>
          <w:rFonts w:ascii="GHEA Grapalat" w:hAnsi="GHEA Grapalat"/>
          <w:b/>
          <w:sz w:val="20"/>
          <w:szCs w:val="20"/>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E874D5" w:rsidRPr="00E874D5">
        <w:rPr>
          <w:rFonts w:ascii="GHEA Grapalat" w:hAnsi="GHEA Grapalat"/>
          <w:b/>
          <w:sz w:val="20"/>
          <w:szCs w:val="20"/>
          <w:lang w:val="hy-AM"/>
        </w:rPr>
        <w:t xml:space="preserve"> </w:t>
      </w:r>
      <w:r w:rsidR="009D1C2A" w:rsidRPr="007E5B4A">
        <w:rPr>
          <w:rFonts w:ascii="GHEA Grapalat" w:hAnsi="GHEA Grapalat"/>
          <w:b/>
          <w:sz w:val="20"/>
          <w:szCs w:val="20"/>
          <w:lang w:val="hy-AM"/>
        </w:rPr>
        <w:t>օբյեկտի նորոգման աշխատանքների ձեռքբերում:</w:t>
      </w:r>
    </w:p>
    <w:p w:rsidR="009D1C2A" w:rsidRDefault="009D1C2A" w:rsidP="001871AB">
      <w:pPr>
        <w:jc w:val="center"/>
        <w:rPr>
          <w:rFonts w:ascii="GHEA Grapalat" w:hAnsi="GHEA Grapalat"/>
          <w:b/>
          <w:i/>
          <w:sz w:val="22"/>
          <w:szCs w:val="22"/>
          <w:lang w:val="hy-AM"/>
        </w:rPr>
      </w:pPr>
    </w:p>
    <w:tbl>
      <w:tblPr>
        <w:tblW w:w="10340" w:type="dxa"/>
        <w:tblLook w:val="04A0" w:firstRow="1" w:lastRow="0" w:firstColumn="1" w:lastColumn="0" w:noHBand="0" w:noVBand="1"/>
      </w:tblPr>
      <w:tblGrid>
        <w:gridCol w:w="486"/>
        <w:gridCol w:w="6460"/>
        <w:gridCol w:w="620"/>
        <w:gridCol w:w="711"/>
        <w:gridCol w:w="880"/>
        <w:gridCol w:w="1380"/>
      </w:tblGrid>
      <w:tr w:rsidR="00A67722" w:rsidRPr="00A67722" w:rsidTr="00A67722">
        <w:trPr>
          <w:trHeight w:val="435"/>
        </w:trPr>
        <w:tc>
          <w:tcPr>
            <w:tcW w:w="360" w:type="dxa"/>
            <w:vMerge w:val="restart"/>
            <w:tcBorders>
              <w:top w:val="double" w:sz="6" w:space="0" w:color="auto"/>
              <w:left w:val="double" w:sz="6" w:space="0" w:color="auto"/>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Հ/Հ</w:t>
            </w:r>
            <w:r w:rsidRPr="00A67722">
              <w:rPr>
                <w:rFonts w:ascii="Sylfaen" w:hAnsi="Sylfaen" w:cs="Calibri"/>
                <w:sz w:val="16"/>
                <w:szCs w:val="16"/>
              </w:rPr>
              <w:br/>
              <w:t xml:space="preserve">№ </w:t>
            </w:r>
          </w:p>
        </w:tc>
        <w:tc>
          <w:tcPr>
            <w:tcW w:w="6460" w:type="dxa"/>
            <w:vMerge w:val="restart"/>
            <w:tcBorders>
              <w:top w:val="double" w:sz="6" w:space="0" w:color="auto"/>
              <w:left w:val="single" w:sz="4" w:space="0" w:color="auto"/>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xml:space="preserve">Աշխատանքների անվանումը </w:t>
            </w:r>
          </w:p>
        </w:tc>
        <w:tc>
          <w:tcPr>
            <w:tcW w:w="620" w:type="dxa"/>
            <w:vMerge w:val="restart"/>
            <w:tcBorders>
              <w:top w:val="double" w:sz="6" w:space="0" w:color="auto"/>
              <w:left w:val="single" w:sz="4" w:space="0" w:color="auto"/>
              <w:bottom w:val="nil"/>
              <w:right w:val="single" w:sz="4" w:space="0" w:color="auto"/>
            </w:tcBorders>
            <w:shd w:val="clear" w:color="000000" w:fill="FFFFFF"/>
            <w:textDirection w:val="btLr"/>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Չափման միավորը</w:t>
            </w:r>
          </w:p>
        </w:tc>
        <w:tc>
          <w:tcPr>
            <w:tcW w:w="640" w:type="dxa"/>
            <w:vMerge w:val="restart"/>
            <w:tcBorders>
              <w:top w:val="double" w:sz="6" w:space="0" w:color="auto"/>
              <w:left w:val="single" w:sz="4" w:space="0" w:color="auto"/>
              <w:bottom w:val="nil"/>
              <w:right w:val="single" w:sz="4" w:space="0" w:color="auto"/>
            </w:tcBorders>
            <w:shd w:val="clear" w:color="000000" w:fill="FFFFFF"/>
            <w:textDirection w:val="btLr"/>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Քանակը</w:t>
            </w:r>
          </w:p>
        </w:tc>
        <w:tc>
          <w:tcPr>
            <w:tcW w:w="880" w:type="dxa"/>
            <w:vMerge w:val="restart"/>
            <w:tcBorders>
              <w:top w:val="double" w:sz="6" w:space="0" w:color="auto"/>
              <w:left w:val="single" w:sz="4" w:space="0" w:color="auto"/>
              <w:bottom w:val="nil"/>
              <w:right w:val="single" w:sz="4" w:space="0" w:color="auto"/>
            </w:tcBorders>
            <w:shd w:val="clear" w:color="000000" w:fill="FFFFFF"/>
            <w:textDirection w:val="btLr"/>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Միավորի ընդհանուր արժեքը  դրամ</w:t>
            </w:r>
          </w:p>
        </w:tc>
        <w:tc>
          <w:tcPr>
            <w:tcW w:w="1380" w:type="dxa"/>
            <w:vMerge w:val="restart"/>
            <w:tcBorders>
              <w:top w:val="double" w:sz="6" w:space="0" w:color="auto"/>
              <w:left w:val="single" w:sz="4" w:space="0" w:color="auto"/>
              <w:bottom w:val="nil"/>
              <w:right w:val="double" w:sz="6" w:space="0" w:color="auto"/>
            </w:tcBorders>
            <w:shd w:val="clear" w:color="000000" w:fill="FFFFFF"/>
            <w:textDirection w:val="btLr"/>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Ընդհանուր արժեքը  դրամ</w:t>
            </w:r>
          </w:p>
        </w:tc>
      </w:tr>
      <w:tr w:rsidR="00A67722" w:rsidRPr="00A67722" w:rsidTr="00A67722">
        <w:trPr>
          <w:trHeight w:val="825"/>
        </w:trPr>
        <w:tc>
          <w:tcPr>
            <w:tcW w:w="360" w:type="dxa"/>
            <w:vMerge/>
            <w:tcBorders>
              <w:top w:val="double" w:sz="6" w:space="0" w:color="auto"/>
              <w:left w:val="double" w:sz="6" w:space="0" w:color="auto"/>
              <w:bottom w:val="nil"/>
              <w:right w:val="single" w:sz="4" w:space="0" w:color="auto"/>
            </w:tcBorders>
            <w:vAlign w:val="center"/>
            <w:hideMark/>
          </w:tcPr>
          <w:p w:rsidR="00A67722" w:rsidRPr="00A67722" w:rsidRDefault="00A67722" w:rsidP="00A67722">
            <w:pPr>
              <w:rPr>
                <w:rFonts w:ascii="Sylfaen" w:hAnsi="Sylfaen" w:cs="Calibri"/>
                <w:sz w:val="16"/>
                <w:szCs w:val="16"/>
              </w:rPr>
            </w:pPr>
          </w:p>
        </w:tc>
        <w:tc>
          <w:tcPr>
            <w:tcW w:w="6460" w:type="dxa"/>
            <w:vMerge/>
            <w:tcBorders>
              <w:top w:val="double" w:sz="6" w:space="0" w:color="auto"/>
              <w:left w:val="single" w:sz="4" w:space="0" w:color="auto"/>
              <w:bottom w:val="nil"/>
              <w:right w:val="single" w:sz="4" w:space="0" w:color="auto"/>
            </w:tcBorders>
            <w:vAlign w:val="center"/>
            <w:hideMark/>
          </w:tcPr>
          <w:p w:rsidR="00A67722" w:rsidRPr="00A67722" w:rsidRDefault="00A67722" w:rsidP="00A67722">
            <w:pPr>
              <w:rPr>
                <w:rFonts w:ascii="Sylfaen" w:hAnsi="Sylfaen" w:cs="Calibri"/>
                <w:sz w:val="18"/>
                <w:szCs w:val="18"/>
              </w:rPr>
            </w:pPr>
          </w:p>
        </w:tc>
        <w:tc>
          <w:tcPr>
            <w:tcW w:w="620" w:type="dxa"/>
            <w:vMerge/>
            <w:tcBorders>
              <w:top w:val="double" w:sz="6" w:space="0" w:color="auto"/>
              <w:left w:val="single" w:sz="4" w:space="0" w:color="auto"/>
              <w:bottom w:val="nil"/>
              <w:right w:val="single" w:sz="4" w:space="0" w:color="auto"/>
            </w:tcBorders>
            <w:vAlign w:val="center"/>
            <w:hideMark/>
          </w:tcPr>
          <w:p w:rsidR="00A67722" w:rsidRPr="00A67722" w:rsidRDefault="00A67722" w:rsidP="00A67722">
            <w:pPr>
              <w:rPr>
                <w:rFonts w:ascii="Sylfaen" w:hAnsi="Sylfaen" w:cs="Calibri"/>
                <w:sz w:val="16"/>
                <w:szCs w:val="16"/>
              </w:rPr>
            </w:pPr>
          </w:p>
        </w:tc>
        <w:tc>
          <w:tcPr>
            <w:tcW w:w="640" w:type="dxa"/>
            <w:vMerge/>
            <w:tcBorders>
              <w:top w:val="double" w:sz="6" w:space="0" w:color="auto"/>
              <w:left w:val="single" w:sz="4" w:space="0" w:color="auto"/>
              <w:bottom w:val="nil"/>
              <w:right w:val="single" w:sz="4" w:space="0" w:color="auto"/>
            </w:tcBorders>
            <w:vAlign w:val="center"/>
            <w:hideMark/>
          </w:tcPr>
          <w:p w:rsidR="00A67722" w:rsidRPr="00A67722" w:rsidRDefault="00A67722" w:rsidP="00A67722">
            <w:pPr>
              <w:rPr>
                <w:rFonts w:ascii="Sylfaen" w:hAnsi="Sylfaen" w:cs="Calibri"/>
                <w:sz w:val="16"/>
                <w:szCs w:val="16"/>
              </w:rPr>
            </w:pPr>
          </w:p>
        </w:tc>
        <w:tc>
          <w:tcPr>
            <w:tcW w:w="880" w:type="dxa"/>
            <w:vMerge/>
            <w:tcBorders>
              <w:top w:val="double" w:sz="6" w:space="0" w:color="auto"/>
              <w:left w:val="single" w:sz="4" w:space="0" w:color="auto"/>
              <w:bottom w:val="nil"/>
              <w:right w:val="single" w:sz="4" w:space="0" w:color="auto"/>
            </w:tcBorders>
            <w:vAlign w:val="center"/>
            <w:hideMark/>
          </w:tcPr>
          <w:p w:rsidR="00A67722" w:rsidRPr="00A67722" w:rsidRDefault="00A67722" w:rsidP="00A67722">
            <w:pPr>
              <w:rPr>
                <w:rFonts w:ascii="Sylfaen" w:hAnsi="Sylfaen" w:cs="Calibri"/>
                <w:sz w:val="16"/>
                <w:szCs w:val="16"/>
              </w:rPr>
            </w:pPr>
          </w:p>
        </w:tc>
        <w:tc>
          <w:tcPr>
            <w:tcW w:w="1380" w:type="dxa"/>
            <w:vMerge/>
            <w:tcBorders>
              <w:top w:val="double" w:sz="6" w:space="0" w:color="auto"/>
              <w:left w:val="single" w:sz="4" w:space="0" w:color="auto"/>
              <w:bottom w:val="nil"/>
              <w:right w:val="double" w:sz="6" w:space="0" w:color="auto"/>
            </w:tcBorders>
            <w:vAlign w:val="center"/>
            <w:hideMark/>
          </w:tcPr>
          <w:p w:rsidR="00A67722" w:rsidRPr="00A67722" w:rsidRDefault="00A67722" w:rsidP="00A67722">
            <w:pPr>
              <w:rPr>
                <w:rFonts w:ascii="Sylfaen" w:hAnsi="Sylfaen" w:cs="Calibri"/>
                <w:sz w:val="16"/>
                <w:szCs w:val="16"/>
              </w:rPr>
            </w:pPr>
          </w:p>
        </w:tc>
      </w:tr>
      <w:tr w:rsidR="00A67722" w:rsidRPr="00A67722" w:rsidTr="00A67722">
        <w:trPr>
          <w:trHeight w:val="270"/>
        </w:trPr>
        <w:tc>
          <w:tcPr>
            <w:tcW w:w="360"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1</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b/>
                <w:bCs/>
                <w:sz w:val="16"/>
                <w:szCs w:val="16"/>
              </w:rPr>
            </w:pPr>
            <w:r w:rsidRPr="00A67722">
              <w:rPr>
                <w:rFonts w:ascii="Sylfaen" w:hAnsi="Sylfaen" w:cs="Calibri"/>
                <w:b/>
                <w:bCs/>
                <w:sz w:val="16"/>
                <w:szCs w:val="16"/>
              </w:rPr>
              <w:t>2</w:t>
            </w:r>
          </w:p>
        </w:tc>
        <w:tc>
          <w:tcPr>
            <w:tcW w:w="620" w:type="dxa"/>
            <w:tcBorders>
              <w:top w:val="single" w:sz="4" w:space="0" w:color="auto"/>
              <w:left w:val="nil"/>
              <w:bottom w:val="single" w:sz="4" w:space="0" w:color="auto"/>
              <w:right w:val="nil"/>
            </w:tcBorders>
            <w:shd w:val="clear" w:color="000000" w:fill="FFFFFF"/>
            <w:vAlign w:val="center"/>
            <w:hideMark/>
          </w:tcPr>
          <w:p w:rsidR="00A67722" w:rsidRPr="00A67722" w:rsidRDefault="00A67722" w:rsidP="00A67722">
            <w:pPr>
              <w:jc w:val="center"/>
              <w:rPr>
                <w:rFonts w:ascii="Sylfaen" w:hAnsi="Sylfaen" w:cs="Calibri"/>
                <w:b/>
                <w:bCs/>
                <w:sz w:val="16"/>
                <w:szCs w:val="16"/>
              </w:rPr>
            </w:pPr>
            <w:r w:rsidRPr="00A67722">
              <w:rPr>
                <w:rFonts w:ascii="Sylfaen" w:hAnsi="Sylfaen" w:cs="Calibri"/>
                <w:b/>
                <w:bCs/>
                <w:sz w:val="16"/>
                <w:szCs w:val="16"/>
              </w:rPr>
              <w:t>3</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b/>
                <w:bCs/>
                <w:sz w:val="16"/>
                <w:szCs w:val="16"/>
              </w:rPr>
            </w:pPr>
            <w:r w:rsidRPr="00A67722">
              <w:rPr>
                <w:rFonts w:ascii="Sylfaen" w:hAnsi="Sylfaen" w:cs="Calibri"/>
                <w:b/>
                <w:bCs/>
                <w:sz w:val="16"/>
                <w:szCs w:val="16"/>
              </w:rPr>
              <w:t>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b/>
                <w:bCs/>
                <w:sz w:val="16"/>
                <w:szCs w:val="16"/>
              </w:rPr>
            </w:pPr>
            <w:r w:rsidRPr="00A67722">
              <w:rPr>
                <w:rFonts w:ascii="Sylfaen" w:hAnsi="Sylfaen" w:cs="Calibri"/>
                <w:b/>
                <w:bCs/>
                <w:sz w:val="16"/>
                <w:szCs w:val="16"/>
              </w:rPr>
              <w:t>5</w:t>
            </w:r>
          </w:p>
        </w:tc>
        <w:tc>
          <w:tcPr>
            <w:tcW w:w="1380" w:type="dxa"/>
            <w:tcBorders>
              <w:top w:val="single" w:sz="4" w:space="0" w:color="auto"/>
              <w:left w:val="nil"/>
              <w:bottom w:val="single" w:sz="4" w:space="0" w:color="auto"/>
              <w:right w:val="double" w:sz="6" w:space="0" w:color="auto"/>
            </w:tcBorders>
            <w:shd w:val="clear" w:color="000000" w:fill="FFFFFF"/>
            <w:vAlign w:val="center"/>
            <w:hideMark/>
          </w:tcPr>
          <w:p w:rsidR="00A67722" w:rsidRPr="00A67722" w:rsidRDefault="00A67722" w:rsidP="00A67722">
            <w:pPr>
              <w:jc w:val="center"/>
              <w:rPr>
                <w:rFonts w:ascii="Sylfaen" w:hAnsi="Sylfaen" w:cs="Calibri"/>
                <w:b/>
                <w:bCs/>
                <w:sz w:val="16"/>
                <w:szCs w:val="16"/>
              </w:rPr>
            </w:pPr>
            <w:r w:rsidRPr="00A67722">
              <w:rPr>
                <w:rFonts w:ascii="Sylfaen" w:hAnsi="Sylfaen" w:cs="Calibri"/>
                <w:b/>
                <w:bCs/>
                <w:sz w:val="16"/>
                <w:szCs w:val="16"/>
              </w:rPr>
              <w:t>6</w:t>
            </w:r>
          </w:p>
        </w:tc>
      </w:tr>
      <w:tr w:rsidR="00A67722" w:rsidRPr="00A67722" w:rsidTr="00A67722">
        <w:trPr>
          <w:trHeight w:val="360"/>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Ասֆալտի կտրում </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468.0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3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Ասֆալտի քանդում 0.1մ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Խճի նստաշերտի քանդում 0.16մ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40.9</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Խճի նստաշերտի ստեղծում 16 սմ հաստությամբ</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255.80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Ասֆալտբետոնե ծածկույթի իրականացում ` խոշորահատիկ խառն. 6 սմ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255.80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Ասֆալտբետոնե ծածկույթի իրականացում ` մանրահատիկ խառնուրդից 4 սմ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255.80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nil"/>
              <w:left w:val="double" w:sz="6"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Հատակի տուֆե քարե շարվածքի քանդում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1530.2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Ապամոնտաժված տուֆե սալիկների տեղադում (10% նոր սալիկներով) </w:t>
            </w:r>
          </w:p>
        </w:tc>
        <w:tc>
          <w:tcPr>
            <w:tcW w:w="620" w:type="dxa"/>
            <w:tcBorders>
              <w:top w:val="nil"/>
              <w:left w:val="nil"/>
              <w:bottom w:val="single" w:sz="4" w:space="0" w:color="auto"/>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1530.2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II կարգի գրունտներում էքսկավատորով</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493.1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III կարգի գրունտներում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418.9</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IV կարգի գրունտներում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636.1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II կարգի գրունտներում ձեռքով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III կարգի գրունտներում ձեռքով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IV կարգի գրունտներում ձեռքով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քանդում IVp կարգի գրունտներում հարվածահատ մուրճով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4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0.1մ նստաշերտի ստեղծում խողովակի տակ և ծածկում էքսկավատորով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1470.5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17</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0.1մ նստաշերտի ստեղծում խողովակի տակ և ծածկում 0.2մ էքսկավատորով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16.6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18</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ետլիցք էքսկավատորով</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59.7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Խրամուղու ետլիցք ձեռքով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Ավելորդ գրունտի բարձում էքսկավատորով ինքնաթափ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1601.7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Տեղափոխում 18 կմ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տն</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3017.2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Մայթերի բազալտե եզրաքարերի քանդում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xml:space="preserve">գմ </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4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Մայթերի բազալտե եզրաքարերի վերականգնում (10% նոր եզրաքարերով)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Գրունտի տոփանում մեխանիզմով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448.5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w:t>
            </w:r>
          </w:p>
        </w:tc>
        <w:tc>
          <w:tcPr>
            <w:tcW w:w="6460" w:type="dxa"/>
            <w:tcBorders>
              <w:top w:val="single" w:sz="4" w:space="0" w:color="auto"/>
              <w:left w:val="nil"/>
              <w:bottom w:val="single" w:sz="4" w:space="0" w:color="auto"/>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Չկազմատվող միացություն «պոլիէթիլեն - պողպատ» d=225/219 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26</w:t>
            </w:r>
          </w:p>
        </w:tc>
        <w:tc>
          <w:tcPr>
            <w:tcW w:w="6460" w:type="dxa"/>
            <w:tcBorders>
              <w:top w:val="nil"/>
              <w:left w:val="nil"/>
              <w:bottom w:val="single" w:sz="4" w:space="0" w:color="auto"/>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Չկազմատվող միացություն «պոլիէթիլեն - պողպատ» d=160/159 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27</w:t>
            </w:r>
          </w:p>
        </w:tc>
        <w:tc>
          <w:tcPr>
            <w:tcW w:w="6460" w:type="dxa"/>
            <w:tcBorders>
              <w:top w:val="nil"/>
              <w:left w:val="nil"/>
              <w:bottom w:val="single" w:sz="4" w:space="0" w:color="auto"/>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Չկազմատվող միացություն «պոլիէթիլեն - պողպատ» d=110/108 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85"/>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28</w:t>
            </w:r>
          </w:p>
        </w:tc>
        <w:tc>
          <w:tcPr>
            <w:tcW w:w="6460" w:type="dxa"/>
            <w:tcBorders>
              <w:top w:val="nil"/>
              <w:left w:val="nil"/>
              <w:bottom w:val="single" w:sz="4" w:space="0" w:color="auto"/>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Չկազմատվող միացություն «պոլիէթիլեն - պողպատ» d=90/89մմ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29</w:t>
            </w:r>
          </w:p>
        </w:tc>
        <w:tc>
          <w:tcPr>
            <w:tcW w:w="6460" w:type="dxa"/>
            <w:tcBorders>
              <w:top w:val="nil"/>
              <w:left w:val="nil"/>
              <w:bottom w:val="single" w:sz="4" w:space="0" w:color="auto"/>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Չկազմատվող միացություն «պոլիէթիլեն - պողպատ» d=63/57 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39</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30</w:t>
            </w:r>
          </w:p>
        </w:tc>
        <w:tc>
          <w:tcPr>
            <w:tcW w:w="6460" w:type="dxa"/>
            <w:tcBorders>
              <w:top w:val="nil"/>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d-225x12.8մմ SDR-17.6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641.0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4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31</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d-160x9.1մմ SDR-17.6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641.0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32</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 110x6.3մմ SDR-17.6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926.0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33</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d-90x5.2մմ SDR-17.6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89.0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34</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d-63x5.8մմ SDR-11 ПЭ 100 տեղադրում խրամուղում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443.0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35</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d-225մմ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lastRenderedPageBreak/>
              <w:t>36</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d-225մմ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37</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d-160մմ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38</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d-160մմ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39</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d-110մմ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7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40</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d-110մմ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41</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d-90մմ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7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42</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d-90մմ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43</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d-63մմ մեխանիկական կտրում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44</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d-63մմ ծայրերի ուղղում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45</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d-225մմ կցվանքային զոդում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46</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d-160մմ կցվանքային զոդում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47</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d-110մմ կցվանքային զոդում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4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48</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d-225մմ 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4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49</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d-160մմ 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8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50</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d-110մմ</w:t>
            </w:r>
            <w:r w:rsidRPr="00A67722">
              <w:rPr>
                <w:rFonts w:ascii="Sylfaen" w:hAnsi="Sylfaen" w:cs="Calibri"/>
                <w:sz w:val="18"/>
                <w:szCs w:val="18"/>
              </w:rPr>
              <w:br/>
              <w:t>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4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51</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d-90մմ 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3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52</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d-63մմ կցորդչային միացություն ներդիր տաքացուցիչով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Վերադիր արտուղղում ներդիր տաքացուցիչով (թամբիկ) Ø225/63մմ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54</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Վերադիր արտուղղում ներդիր տաքացուցիչով (թամբիկ) Ø160/63մմ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55</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Վերադիր արտուղղում ներդիր տաքացուցիչով (թամբիկ) Ø110/63մմ</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d-110/90մմ ՊԷ եռաբաշխիչի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d-225մմ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d-160մմ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d-110մմ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d-90մմ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d-63մմ ՊԷ 90° անկյունակի 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7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d-160/110մմ ՊԷ անցումների տեղադրում ներդիր տաքացուցիչով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 d-110մմ ՊԷ խցափակիչի</w:t>
            </w:r>
            <w:r w:rsidRPr="00A67722">
              <w:rPr>
                <w:rFonts w:ascii="Sylfaen" w:hAnsi="Sylfaen" w:cs="Calibri"/>
                <w:sz w:val="18"/>
                <w:szCs w:val="18"/>
              </w:rPr>
              <w:br/>
              <w:t>տեղադրում (ներդիր տաքաց.)</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Տարբերիչ նշանի տեղադրում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65</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Հաղորդալարի միացում ծայրապնակի միջոցով 2.5մմ²</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66</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Պղնձե լարի տեղադրում 2.5մմ²</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2187.0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Բացահայտիչ ժապավենի փռում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2740.0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Գույքային հանգուցի տեղադրում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խողովակների փչամաքրում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2740.0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ՊԷ խողովակների փորձարկման համար ճնշման բարձրացում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2740.0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խողովակների փորձարկման համար ճնշման պահում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տեղ</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Calibri" w:hAnsi="Calibri" w:cs="Calibri"/>
                <w:color w:val="000000"/>
                <w:sz w:val="18"/>
                <w:szCs w:val="18"/>
              </w:rPr>
            </w:pPr>
            <w:r w:rsidRPr="00A67722">
              <w:rPr>
                <w:rFonts w:ascii="Calibri" w:hAnsi="Calibri" w:cs="Calibri"/>
                <w:color w:val="000000"/>
                <w:sz w:val="18"/>
                <w:szCs w:val="18"/>
              </w:rPr>
              <w:t>72</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խողովակների զոդակարերի ուլտրաձայնային ստուգում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3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Փոսերի քանդում II կարգի գրունտներում ձեռքով մետաղական հենասյունների համար</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3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Փոսերի քանդում III կարգի գրունտներում ձեռքով մետաղական հենասյունների համար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0.4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5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Փոսերի քանդում IV կարգի գրունտներում ձեռքով մետաղական հենասյունների համար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0.3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51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Փոսերի քանդում IVp կարգի գրունտներում հարվածահատ մուրճով մետաղական հենասյունների համար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0.1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Բետոնե հիմքեր միաձույլ բետոնից B12.5 (M150) մետաղական հենասյունների համար</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3</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Ավելորդ գրունտի բարձում ձեռքով  ինքնաթափ, տեղափոխում 7կմ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տն</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8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79</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Հենարանների տեղադրում պողպատե խողովակներից d=76x3մմ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136.08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8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80</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Հենարանների տեղադրում պողպատե խողովակներից d=57x3մմ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288.0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51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lastRenderedPageBreak/>
              <w:t>81</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Հենարանների տեղադրում զույգ խողովակների տակ պողպատե խողովակներից d=108x4մմ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138.51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3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82</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Մետաղական տարրեր գազատարը պատին ամրացնելու համար (անկյունակ 45x45x4մմ)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4.4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83</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Կիսախողովակների տեղադրում գազախողովակների տակ</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29</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84</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Պարոնիտի տեղադրում </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3.576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6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85</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Մետաղական շինվածքների տեղադրում հենարանների հիմքերի համար (ամրան A-III դասի)</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32.8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86</w:t>
            </w:r>
          </w:p>
        </w:tc>
        <w:tc>
          <w:tcPr>
            <w:tcW w:w="6460" w:type="dxa"/>
            <w:tcBorders>
              <w:top w:val="single" w:sz="4" w:space="0" w:color="auto"/>
              <w:left w:val="nil"/>
              <w:bottom w:val="single" w:sz="4" w:space="0" w:color="auto"/>
              <w:right w:val="single" w:sz="4" w:space="0" w:color="auto"/>
            </w:tcBorders>
            <w:shd w:val="clear" w:color="000000" w:fill="FFFFFF"/>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Մետաղական մակերևույթների նախաներկում ГФ -021 2 շերտով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98.6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nil"/>
              <w:left w:val="double" w:sz="6" w:space="0" w:color="auto"/>
              <w:bottom w:val="nil"/>
              <w:right w:val="nil"/>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87</w:t>
            </w:r>
          </w:p>
        </w:tc>
        <w:tc>
          <w:tcPr>
            <w:tcW w:w="6460" w:type="dxa"/>
            <w:tcBorders>
              <w:top w:val="nil"/>
              <w:left w:val="single" w:sz="4" w:space="0" w:color="auto"/>
              <w:bottom w:val="nil"/>
              <w:right w:val="single" w:sz="4" w:space="0" w:color="auto"/>
            </w:tcBorders>
            <w:shd w:val="clear" w:color="000000" w:fill="FFFFFF"/>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Մետաղական մակերևույթների յուղաներկում 2 անգամ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r w:rsidRPr="00A67722">
              <w:rPr>
                <w:rFonts w:ascii="Sylfaen" w:hAnsi="Sylfaen" w:cs="Calibri"/>
                <w:sz w:val="18"/>
                <w:szCs w:val="18"/>
                <w:vertAlign w:val="superscript"/>
              </w:rPr>
              <w:t>2</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98.6</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9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88</w:t>
            </w:r>
          </w:p>
        </w:tc>
        <w:tc>
          <w:tcPr>
            <w:tcW w:w="6460" w:type="dxa"/>
            <w:tcBorders>
              <w:top w:val="single" w:sz="4" w:space="0" w:color="auto"/>
              <w:left w:val="nil"/>
              <w:bottom w:val="nil"/>
              <w:right w:val="single" w:sz="4" w:space="0" w:color="auto"/>
            </w:tcBorders>
            <w:shd w:val="clear" w:color="auto" w:fill="auto"/>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Ø133x4մմ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80"/>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89</w:t>
            </w:r>
          </w:p>
        </w:tc>
        <w:tc>
          <w:tcPr>
            <w:tcW w:w="6460" w:type="dxa"/>
            <w:tcBorders>
              <w:top w:val="single" w:sz="4" w:space="0" w:color="auto"/>
              <w:left w:val="nil"/>
              <w:bottom w:val="nil"/>
              <w:right w:val="single" w:sz="4" w:space="0" w:color="auto"/>
            </w:tcBorders>
            <w:shd w:val="clear" w:color="auto" w:fill="auto"/>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Ø108x4մմ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52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90</w:t>
            </w:r>
          </w:p>
        </w:tc>
        <w:tc>
          <w:tcPr>
            <w:tcW w:w="6460" w:type="dxa"/>
            <w:tcBorders>
              <w:top w:val="single" w:sz="4" w:space="0" w:color="auto"/>
              <w:left w:val="nil"/>
              <w:bottom w:val="nil"/>
              <w:right w:val="single" w:sz="4" w:space="0" w:color="auto"/>
            </w:tcBorders>
            <w:shd w:val="clear" w:color="auto" w:fill="auto"/>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Ø89x4մմ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9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91</w:t>
            </w:r>
          </w:p>
        </w:tc>
        <w:tc>
          <w:tcPr>
            <w:tcW w:w="6460" w:type="dxa"/>
            <w:tcBorders>
              <w:top w:val="single" w:sz="4" w:space="0" w:color="auto"/>
              <w:left w:val="nil"/>
              <w:bottom w:val="nil"/>
              <w:right w:val="single" w:sz="4" w:space="0" w:color="auto"/>
            </w:tcBorders>
            <w:shd w:val="clear" w:color="auto" w:fill="auto"/>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Ø57x3.5մմ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54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92</w:t>
            </w:r>
          </w:p>
        </w:tc>
        <w:tc>
          <w:tcPr>
            <w:tcW w:w="6460" w:type="dxa"/>
            <w:tcBorders>
              <w:top w:val="single" w:sz="4" w:space="0" w:color="auto"/>
              <w:left w:val="nil"/>
              <w:bottom w:val="nil"/>
              <w:right w:val="single" w:sz="4" w:space="0" w:color="auto"/>
            </w:tcBorders>
            <w:shd w:val="clear" w:color="auto" w:fill="auto"/>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Ø48x3,5մմ</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15.0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51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93</w:t>
            </w:r>
          </w:p>
        </w:tc>
        <w:tc>
          <w:tcPr>
            <w:tcW w:w="6460" w:type="dxa"/>
            <w:tcBorders>
              <w:top w:val="single" w:sz="4" w:space="0" w:color="auto"/>
              <w:left w:val="nil"/>
              <w:bottom w:val="nil"/>
              <w:right w:val="single" w:sz="4" w:space="0" w:color="auto"/>
            </w:tcBorders>
            <w:shd w:val="clear" w:color="000000" w:fill="FFFFFF"/>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Ø42,3x3,2մմ</w:t>
            </w:r>
            <w:r w:rsidRPr="00A67722">
              <w:rPr>
                <w:rFonts w:ascii="Sylfaen" w:hAnsi="Sylfaen" w:cs="Calibri"/>
                <w:sz w:val="18"/>
                <w:szCs w:val="18"/>
              </w:rPr>
              <w:br/>
              <w:t xml:space="preserve">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5.0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9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94</w:t>
            </w:r>
          </w:p>
        </w:tc>
        <w:tc>
          <w:tcPr>
            <w:tcW w:w="6460" w:type="dxa"/>
            <w:tcBorders>
              <w:top w:val="single" w:sz="4" w:space="0" w:color="auto"/>
              <w:left w:val="nil"/>
              <w:bottom w:val="nil"/>
              <w:right w:val="single" w:sz="4" w:space="0" w:color="auto"/>
            </w:tcBorders>
            <w:shd w:val="clear" w:color="000000" w:fill="FFFFFF"/>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Ø33.5x3,2մմ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6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95</w:t>
            </w:r>
          </w:p>
        </w:tc>
        <w:tc>
          <w:tcPr>
            <w:tcW w:w="6460" w:type="dxa"/>
            <w:tcBorders>
              <w:top w:val="single" w:sz="4" w:space="0" w:color="auto"/>
              <w:left w:val="nil"/>
              <w:bottom w:val="nil"/>
              <w:right w:val="single" w:sz="4" w:space="0" w:color="auto"/>
            </w:tcBorders>
            <w:shd w:val="clear" w:color="000000" w:fill="FFFFFF"/>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գազատար խողովակների վերգետնյա տեղադրում փորձարկումով Ø26.8x2,8մմ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35.0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9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Ø219x6մմ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dպ-200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6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Ø159x4.5մմ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Ø150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Ø133x4մմ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dպ-125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78.0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Ø108x4մմ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dպ-100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Ø89x4մմ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3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dպ-80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8.0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42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Պողպատե գազատար խողովակների տեղադրում փորձարկումով Ø57x3.5մմ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Խողովակների հակակոռոզիոն մեկուսացում «РАМ» տիպի մեկուսիչ նյութերով dպ-50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Ø273x6մմ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Պատյանների հակակոռոզիոն մեկուսացում «РАМ» տիպի մեկուսիչ նյութերով dպ250մմ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110</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Ø219x6մմ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111</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Պատյանների հակակոռոզիոն մեկուսացում «РАМ» տիպի մեկուսիչ նյութերով dպ200մմ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Ø159x4.5մմ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113</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Պատյանների հակակոռոզիոն մեկուսացում «РАМ» տիպի մեկուսիչ նյութերով dպ150մմ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9.5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114</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Ø133x4մմ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lastRenderedPageBreak/>
              <w:t>115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Պատյանների հակակոռոզիոն մեկուսացում «РАМ» տիպի մեկուսիչ նյութերով dպ125մմ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Ø108x4մմ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61.5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9"/>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Պատյանների հակակոռոզիոն մեկուսացում «РАМ» տիպի մեկուսիչ նյութերով dպ100մմ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61.5</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հորիզոնական հորատման եղանակով՝ մեկուսացումով  «РАМ» տիպի մեկուսիչ նյութերով  Ø159x4.5մմ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119</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տեղադրում խրամուղում հորիզոնական հորատման եղանակով՝ մեկուսացումով  «РАМ» տիպի մեկուսիչ նյութերով  Ø133x4.0մմ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d-110մմ անցկացում պատյանով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120.0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121</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d-90մմ անցկացում պատյանով</w:t>
            </w:r>
          </w:p>
        </w:tc>
        <w:tc>
          <w:tcPr>
            <w:tcW w:w="62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auto" w:fill="auto"/>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33.0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122</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ծայրերի հերմետիկացում փրփրային լցանյութով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color w:val="000000"/>
                <w:sz w:val="18"/>
                <w:szCs w:val="18"/>
              </w:rPr>
            </w:pPr>
            <w:r w:rsidRPr="00A67722">
              <w:rPr>
                <w:rFonts w:ascii="Sylfaen" w:hAnsi="Sylfaen" w:cs="Calibri"/>
                <w:color w:val="000000"/>
                <w:sz w:val="18"/>
                <w:szCs w:val="18"/>
              </w:rPr>
              <w:t>123</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պատյանի ծայրերի հերմետիկացում բիտումով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124</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ծախսը հենօղակների համար d-110</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4.3</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Պէ խողովակի ծախսը հենօղակների համար d-90</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25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Ստուգիչ խողովակի տեղադրում dպ-32մմ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4</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color w:val="000000"/>
                <w:sz w:val="18"/>
                <w:szCs w:val="18"/>
              </w:rPr>
            </w:pPr>
            <w:r w:rsidRPr="00A67722">
              <w:rPr>
                <w:rFonts w:ascii="Sylfaen" w:hAnsi="Sylfaen" w:cs="Calibri"/>
                <w:color w:val="000000"/>
                <w:sz w:val="18"/>
                <w:szCs w:val="18"/>
              </w:rPr>
              <w:t>127</w:t>
            </w:r>
          </w:p>
        </w:tc>
        <w:tc>
          <w:tcPr>
            <w:tcW w:w="646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Ձևավոր մասերի տեղադրում (արմունկ, անցում, եռաբաշխիչ, խցափակիչ)</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կգ</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280.2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128</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կտրում Dպ-150մմ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nil"/>
              <w:left w:val="double" w:sz="6" w:space="0" w:color="auto"/>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6"/>
                <w:szCs w:val="16"/>
              </w:rPr>
            </w:pPr>
            <w:r w:rsidRPr="00A67722">
              <w:rPr>
                <w:rFonts w:ascii="Sylfaen" w:hAnsi="Sylfaen" w:cs="Calibri"/>
                <w:sz w:val="16"/>
                <w:szCs w:val="16"/>
              </w:rPr>
              <w:t>129</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կտրում Dպ-125մմ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130</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Գազատարի կտրում Dպ-100մմ  </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10</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131</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կտրում Dպ-80 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single" w:sz="4" w:space="0" w:color="auto"/>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132</w:t>
            </w:r>
          </w:p>
        </w:tc>
        <w:tc>
          <w:tcPr>
            <w:tcW w:w="646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կտրում Dպ-70 մմ</w:t>
            </w:r>
          </w:p>
        </w:tc>
        <w:tc>
          <w:tcPr>
            <w:tcW w:w="620" w:type="dxa"/>
            <w:tcBorders>
              <w:top w:val="nil"/>
              <w:left w:val="nil"/>
              <w:bottom w:val="single" w:sz="4" w:space="0" w:color="auto"/>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nil"/>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133</w:t>
            </w:r>
          </w:p>
        </w:tc>
        <w:tc>
          <w:tcPr>
            <w:tcW w:w="6460" w:type="dxa"/>
            <w:tcBorders>
              <w:top w:val="nil"/>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կտրում Dպ 20-50մմ</w:t>
            </w:r>
          </w:p>
        </w:tc>
        <w:tc>
          <w:tcPr>
            <w:tcW w:w="620" w:type="dxa"/>
            <w:tcBorders>
              <w:top w:val="nil"/>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128</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15"/>
        </w:trPr>
        <w:tc>
          <w:tcPr>
            <w:tcW w:w="360" w:type="dxa"/>
            <w:tcBorders>
              <w:top w:val="single" w:sz="4" w:space="0" w:color="auto"/>
              <w:left w:val="double" w:sz="6" w:space="0" w:color="auto"/>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134</w:t>
            </w:r>
          </w:p>
        </w:tc>
        <w:tc>
          <w:tcPr>
            <w:tcW w:w="6460" w:type="dxa"/>
            <w:tcBorders>
              <w:top w:val="single" w:sz="4" w:space="0" w:color="auto"/>
              <w:left w:val="nil"/>
              <w:bottom w:val="nil"/>
              <w:right w:val="single" w:sz="4" w:space="0" w:color="auto"/>
            </w:tcBorders>
            <w:shd w:val="clear" w:color="auto" w:fill="auto"/>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Պողպատե խողովակների ներմիացում dպ-200 մմ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135</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Սողնակային փականի ապամոնտաժում և մոնտաժ dպ-125մմ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75"/>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136</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 xml:space="preserve">Սողնակային փականի ապամոնտաժում և մոնտաժ dպ-50մմ </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6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137</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Զոդակարերի ստուգում ֆիզիկական եղանակով</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հատ</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29</w:t>
            </w:r>
          </w:p>
        </w:tc>
        <w:tc>
          <w:tcPr>
            <w:tcW w:w="88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single" w:sz="4" w:space="0" w:color="auto"/>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30"/>
        </w:trPr>
        <w:tc>
          <w:tcPr>
            <w:tcW w:w="360" w:type="dxa"/>
            <w:tcBorders>
              <w:top w:val="single" w:sz="4" w:space="0" w:color="auto"/>
              <w:left w:val="double" w:sz="6" w:space="0" w:color="auto"/>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138</w:t>
            </w:r>
          </w:p>
        </w:tc>
        <w:tc>
          <w:tcPr>
            <w:tcW w:w="646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rPr>
                <w:rFonts w:ascii="Sylfaen" w:hAnsi="Sylfaen" w:cs="Calibri"/>
                <w:sz w:val="18"/>
                <w:szCs w:val="18"/>
              </w:rPr>
            </w:pPr>
            <w:r w:rsidRPr="00A67722">
              <w:rPr>
                <w:rFonts w:ascii="Sylfaen" w:hAnsi="Sylfaen" w:cs="Calibri"/>
                <w:sz w:val="18"/>
                <w:szCs w:val="18"/>
              </w:rPr>
              <w:t>Գազատարի փչամաքրում</w:t>
            </w:r>
          </w:p>
        </w:tc>
        <w:tc>
          <w:tcPr>
            <w:tcW w:w="620" w:type="dxa"/>
            <w:tcBorders>
              <w:top w:val="single" w:sz="4" w:space="0" w:color="auto"/>
              <w:left w:val="nil"/>
              <w:bottom w:val="nil"/>
              <w:right w:val="single" w:sz="4" w:space="0" w:color="auto"/>
            </w:tcBorders>
            <w:shd w:val="clear" w:color="000000" w:fill="FFFFFF"/>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գմ</w:t>
            </w:r>
          </w:p>
        </w:tc>
        <w:tc>
          <w:tcPr>
            <w:tcW w:w="640" w:type="dxa"/>
            <w:tcBorders>
              <w:top w:val="single" w:sz="4" w:space="0" w:color="auto"/>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609.0</w:t>
            </w:r>
          </w:p>
        </w:tc>
        <w:tc>
          <w:tcPr>
            <w:tcW w:w="880" w:type="dxa"/>
            <w:tcBorders>
              <w:top w:val="nil"/>
              <w:left w:val="nil"/>
              <w:bottom w:val="nil"/>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1380" w:type="dxa"/>
            <w:tcBorders>
              <w:top w:val="nil"/>
              <w:left w:val="nil"/>
              <w:bottom w:val="nil"/>
              <w:right w:val="double" w:sz="6"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r>
      <w:tr w:rsidR="00A67722" w:rsidRPr="00A67722" w:rsidTr="00A67722">
        <w:trPr>
          <w:trHeight w:val="300"/>
        </w:trPr>
        <w:tc>
          <w:tcPr>
            <w:tcW w:w="360" w:type="dxa"/>
            <w:tcBorders>
              <w:top w:val="single" w:sz="4" w:space="0" w:color="auto"/>
              <w:left w:val="single" w:sz="4" w:space="0" w:color="auto"/>
              <w:bottom w:val="single" w:sz="4" w:space="0" w:color="auto"/>
              <w:right w:val="single" w:sz="4" w:space="0" w:color="auto"/>
            </w:tcBorders>
            <w:shd w:val="clear" w:color="000000" w:fill="FFFFFF"/>
            <w:noWrap/>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 </w:t>
            </w:r>
          </w:p>
        </w:tc>
        <w:tc>
          <w:tcPr>
            <w:tcW w:w="6460" w:type="dxa"/>
            <w:tcBorders>
              <w:top w:val="single" w:sz="4" w:space="0" w:color="auto"/>
              <w:left w:val="nil"/>
              <w:bottom w:val="single" w:sz="4" w:space="0" w:color="auto"/>
              <w:right w:val="single" w:sz="4" w:space="0" w:color="auto"/>
            </w:tcBorders>
            <w:shd w:val="clear" w:color="000000" w:fill="FFFFFF"/>
            <w:noWrap/>
            <w:hideMark/>
          </w:tcPr>
          <w:p w:rsidR="00A67722" w:rsidRPr="00A67722" w:rsidRDefault="00A67722" w:rsidP="00A67722">
            <w:pPr>
              <w:rPr>
                <w:rFonts w:ascii="Sylfaen" w:hAnsi="Sylfaen" w:cs="Calibri"/>
                <w:b/>
                <w:bCs/>
                <w:sz w:val="18"/>
                <w:szCs w:val="18"/>
              </w:rPr>
            </w:pPr>
            <w:r w:rsidRPr="00A67722">
              <w:rPr>
                <w:rFonts w:ascii="Sylfaen" w:hAnsi="Sylfaen" w:cs="Calibri"/>
                <w:b/>
                <w:bCs/>
                <w:sz w:val="18"/>
                <w:szCs w:val="18"/>
              </w:rPr>
              <w:t xml:space="preserve">Ընդամենը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 </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 </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 </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b/>
                <w:bCs/>
                <w:sz w:val="18"/>
                <w:szCs w:val="18"/>
              </w:rPr>
            </w:pPr>
            <w:r w:rsidRPr="00A67722">
              <w:rPr>
                <w:rFonts w:ascii="Sylfaen" w:hAnsi="Sylfaen" w:cs="Calibri"/>
                <w:b/>
                <w:bCs/>
                <w:sz w:val="18"/>
                <w:szCs w:val="18"/>
              </w:rPr>
              <w:t> </w:t>
            </w:r>
          </w:p>
        </w:tc>
      </w:tr>
      <w:tr w:rsidR="00A67722" w:rsidRPr="00A67722" w:rsidTr="00A67722">
        <w:trPr>
          <w:trHeight w:val="285"/>
        </w:trPr>
        <w:tc>
          <w:tcPr>
            <w:tcW w:w="360" w:type="dxa"/>
            <w:tcBorders>
              <w:top w:val="nil"/>
              <w:left w:val="single" w:sz="4" w:space="0" w:color="auto"/>
              <w:bottom w:val="single" w:sz="4" w:space="0" w:color="auto"/>
              <w:right w:val="single" w:sz="4" w:space="0" w:color="auto"/>
            </w:tcBorders>
            <w:shd w:val="clear" w:color="000000" w:fill="FFFFFF"/>
            <w:noWrap/>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646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rPr>
                <w:rFonts w:ascii="Sylfaen" w:hAnsi="Sylfaen" w:cs="Calibri"/>
                <w:sz w:val="20"/>
                <w:szCs w:val="20"/>
              </w:rPr>
            </w:pPr>
            <w:r w:rsidRPr="00A67722">
              <w:rPr>
                <w:rFonts w:ascii="Sylfaen" w:hAnsi="Sylfaen" w:cs="Calibri"/>
                <w:sz w:val="20"/>
                <w:szCs w:val="20"/>
              </w:rPr>
              <w:t>Շահույթ</w:t>
            </w:r>
          </w:p>
        </w:tc>
        <w:tc>
          <w:tcPr>
            <w:tcW w:w="62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rPr>
                <w:rFonts w:ascii="Sylfaen" w:hAnsi="Sylfaen" w:cs="Calibri"/>
                <w:color w:val="000000"/>
                <w:sz w:val="22"/>
                <w:szCs w:val="22"/>
              </w:rPr>
            </w:pPr>
            <w:r w:rsidRPr="00A67722">
              <w:rPr>
                <w:rFonts w:ascii="Sylfaen" w:hAnsi="Sylfaen" w:cs="Calibri"/>
                <w:color w:val="000000"/>
                <w:sz w:val="22"/>
                <w:szCs w:val="22"/>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jc w:val="right"/>
              <w:rPr>
                <w:rFonts w:ascii="Sylfaen" w:hAnsi="Sylfaen" w:cs="Calibri"/>
                <w:sz w:val="20"/>
                <w:szCs w:val="20"/>
              </w:rPr>
            </w:pPr>
            <w:r w:rsidRPr="00A67722">
              <w:rPr>
                <w:rFonts w:ascii="Sylfaen" w:hAnsi="Sylfaen" w:cs="Calibri"/>
                <w:sz w:val="20"/>
                <w:szCs w:val="20"/>
              </w:rPr>
              <w:t> </w:t>
            </w:r>
          </w:p>
        </w:tc>
      </w:tr>
      <w:tr w:rsidR="00A67722" w:rsidRPr="00A67722" w:rsidTr="00A67722">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646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rPr>
                <w:rFonts w:ascii="Sylfaen" w:hAnsi="Sylfaen" w:cs="Calibri"/>
                <w:sz w:val="20"/>
                <w:szCs w:val="20"/>
              </w:rPr>
            </w:pPr>
            <w:r w:rsidRPr="00A67722">
              <w:rPr>
                <w:rFonts w:ascii="Sylfaen" w:hAnsi="Sylfaen" w:cs="Calibri"/>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rPr>
                <w:rFonts w:ascii="Sylfaen" w:hAnsi="Sylfaen" w:cs="Calibri"/>
                <w:color w:val="000000"/>
                <w:sz w:val="22"/>
                <w:szCs w:val="22"/>
              </w:rPr>
            </w:pPr>
            <w:r w:rsidRPr="00A67722">
              <w:rPr>
                <w:rFonts w:ascii="Sylfaen" w:hAnsi="Sylfaen" w:cs="Calibri"/>
                <w:color w:val="000000"/>
                <w:sz w:val="22"/>
                <w:szCs w:val="22"/>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jc w:val="right"/>
              <w:rPr>
                <w:rFonts w:ascii="Sylfaen" w:hAnsi="Sylfaen" w:cs="Calibri"/>
                <w:sz w:val="20"/>
                <w:szCs w:val="20"/>
              </w:rPr>
            </w:pPr>
            <w:r w:rsidRPr="00A67722">
              <w:rPr>
                <w:rFonts w:ascii="Sylfaen" w:hAnsi="Sylfaen" w:cs="Calibri"/>
                <w:sz w:val="20"/>
                <w:szCs w:val="20"/>
              </w:rPr>
              <w:t> </w:t>
            </w:r>
          </w:p>
        </w:tc>
      </w:tr>
      <w:tr w:rsidR="00A67722" w:rsidRPr="00A67722" w:rsidTr="00A67722">
        <w:trPr>
          <w:trHeight w:val="255"/>
        </w:trPr>
        <w:tc>
          <w:tcPr>
            <w:tcW w:w="360" w:type="dxa"/>
            <w:tcBorders>
              <w:top w:val="nil"/>
              <w:left w:val="single" w:sz="4" w:space="0" w:color="auto"/>
              <w:bottom w:val="single" w:sz="4" w:space="0" w:color="auto"/>
              <w:right w:val="single" w:sz="4" w:space="0" w:color="auto"/>
            </w:tcBorders>
            <w:shd w:val="clear" w:color="000000" w:fill="FFFFFF"/>
            <w:noWrap/>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646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rPr>
                <w:rFonts w:ascii="Sylfaen" w:hAnsi="Sylfaen" w:cs="Calibri"/>
                <w:sz w:val="20"/>
                <w:szCs w:val="20"/>
              </w:rPr>
            </w:pPr>
            <w:r w:rsidRPr="00A67722">
              <w:rPr>
                <w:rFonts w:ascii="Sylfaen" w:hAnsi="Sylfaen" w:cs="Calibri"/>
                <w:sz w:val="20"/>
                <w:szCs w:val="20"/>
              </w:rPr>
              <w:t>ԱԱՀ</w:t>
            </w:r>
          </w:p>
        </w:tc>
        <w:tc>
          <w:tcPr>
            <w:tcW w:w="62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20%</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rPr>
                <w:rFonts w:ascii="Sylfaen" w:hAnsi="Sylfaen" w:cs="Calibri"/>
                <w:color w:val="000000"/>
                <w:sz w:val="22"/>
                <w:szCs w:val="22"/>
              </w:rPr>
            </w:pPr>
            <w:r w:rsidRPr="00A67722">
              <w:rPr>
                <w:rFonts w:ascii="Sylfaen" w:hAnsi="Sylfaen" w:cs="Calibri"/>
                <w:color w:val="000000"/>
                <w:sz w:val="22"/>
                <w:szCs w:val="22"/>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jc w:val="right"/>
              <w:rPr>
                <w:rFonts w:ascii="Sylfaen" w:hAnsi="Sylfaen" w:cs="Calibri"/>
                <w:sz w:val="20"/>
                <w:szCs w:val="20"/>
              </w:rPr>
            </w:pPr>
            <w:r w:rsidRPr="00A67722">
              <w:rPr>
                <w:rFonts w:ascii="Sylfaen" w:hAnsi="Sylfaen" w:cs="Calibri"/>
                <w:sz w:val="20"/>
                <w:szCs w:val="20"/>
              </w:rPr>
              <w:t> </w:t>
            </w:r>
          </w:p>
        </w:tc>
      </w:tr>
      <w:tr w:rsidR="00A67722" w:rsidRPr="00A67722" w:rsidTr="00A67722">
        <w:trPr>
          <w:trHeight w:val="300"/>
        </w:trPr>
        <w:tc>
          <w:tcPr>
            <w:tcW w:w="360" w:type="dxa"/>
            <w:tcBorders>
              <w:top w:val="nil"/>
              <w:left w:val="single" w:sz="4" w:space="0" w:color="auto"/>
              <w:bottom w:val="single" w:sz="4" w:space="0" w:color="auto"/>
              <w:right w:val="single" w:sz="4" w:space="0" w:color="auto"/>
            </w:tcBorders>
            <w:shd w:val="clear" w:color="000000" w:fill="FFFFFF"/>
            <w:noWrap/>
            <w:hideMark/>
          </w:tcPr>
          <w:p w:rsidR="00A67722" w:rsidRPr="00A67722" w:rsidRDefault="00A67722" w:rsidP="00A67722">
            <w:pPr>
              <w:jc w:val="center"/>
              <w:rPr>
                <w:rFonts w:ascii="Sylfaen" w:hAnsi="Sylfaen" w:cs="Calibri"/>
                <w:sz w:val="18"/>
                <w:szCs w:val="18"/>
              </w:rPr>
            </w:pPr>
            <w:r w:rsidRPr="00A67722">
              <w:rPr>
                <w:rFonts w:ascii="Sylfaen" w:hAnsi="Sylfaen" w:cs="Calibri"/>
                <w:sz w:val="18"/>
                <w:szCs w:val="18"/>
              </w:rPr>
              <w:t> </w:t>
            </w:r>
          </w:p>
        </w:tc>
        <w:tc>
          <w:tcPr>
            <w:tcW w:w="646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rPr>
                <w:rFonts w:ascii="Sylfaen" w:hAnsi="Sylfaen" w:cs="Calibri"/>
                <w:b/>
                <w:bCs/>
                <w:sz w:val="20"/>
                <w:szCs w:val="20"/>
              </w:rPr>
            </w:pPr>
            <w:r w:rsidRPr="00A67722">
              <w:rPr>
                <w:rFonts w:ascii="Sylfaen" w:hAnsi="Sylfaen" w:cs="Calibri"/>
                <w:b/>
                <w:bCs/>
                <w:sz w:val="20"/>
                <w:szCs w:val="20"/>
              </w:rPr>
              <w:t>Ընդամենը</w:t>
            </w:r>
          </w:p>
        </w:tc>
        <w:tc>
          <w:tcPr>
            <w:tcW w:w="62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right"/>
              <w:rPr>
                <w:rFonts w:ascii="Sylfaen" w:hAnsi="Sylfaen" w:cs="Calibri"/>
                <w:b/>
                <w:bCs/>
                <w:sz w:val="20"/>
                <w:szCs w:val="20"/>
              </w:rPr>
            </w:pPr>
            <w:r w:rsidRPr="00A67722">
              <w:rPr>
                <w:rFonts w:ascii="Sylfaen" w:hAnsi="Sylfaen" w:cs="Calibri"/>
                <w:b/>
                <w:bCs/>
                <w:sz w:val="20"/>
                <w:szCs w:val="20"/>
              </w:rPr>
              <w:t> </w:t>
            </w:r>
          </w:p>
        </w:tc>
        <w:tc>
          <w:tcPr>
            <w:tcW w:w="640" w:type="dxa"/>
            <w:tcBorders>
              <w:top w:val="nil"/>
              <w:left w:val="nil"/>
              <w:bottom w:val="single" w:sz="4" w:space="0" w:color="auto"/>
              <w:right w:val="single" w:sz="4" w:space="0" w:color="auto"/>
            </w:tcBorders>
            <w:shd w:val="clear" w:color="000000" w:fill="FFFFFF"/>
            <w:noWrap/>
            <w:vAlign w:val="center"/>
            <w:hideMark/>
          </w:tcPr>
          <w:p w:rsidR="00A67722" w:rsidRPr="00A67722" w:rsidRDefault="00A67722" w:rsidP="00A67722">
            <w:pPr>
              <w:jc w:val="right"/>
              <w:rPr>
                <w:rFonts w:ascii="Sylfaen" w:hAnsi="Sylfaen" w:cs="Calibri"/>
                <w:b/>
                <w:bCs/>
                <w:sz w:val="20"/>
                <w:szCs w:val="20"/>
              </w:rPr>
            </w:pPr>
            <w:r w:rsidRPr="00A67722">
              <w:rPr>
                <w:rFonts w:ascii="Sylfaen" w:hAnsi="Sylfaen" w:cs="Calibri"/>
                <w:b/>
                <w:bCs/>
                <w:sz w:val="20"/>
                <w:szCs w:val="20"/>
              </w:rPr>
              <w:t> </w:t>
            </w:r>
          </w:p>
        </w:tc>
        <w:tc>
          <w:tcPr>
            <w:tcW w:w="880" w:type="dxa"/>
            <w:tcBorders>
              <w:top w:val="nil"/>
              <w:left w:val="nil"/>
              <w:bottom w:val="single" w:sz="4" w:space="0" w:color="auto"/>
              <w:right w:val="single" w:sz="4" w:space="0" w:color="auto"/>
            </w:tcBorders>
            <w:shd w:val="clear" w:color="000000" w:fill="FFFFFF"/>
            <w:noWrap/>
            <w:vAlign w:val="bottom"/>
            <w:hideMark/>
          </w:tcPr>
          <w:p w:rsidR="00A67722" w:rsidRPr="00A67722" w:rsidRDefault="00A67722" w:rsidP="00A67722">
            <w:pPr>
              <w:rPr>
                <w:rFonts w:ascii="Sylfaen" w:hAnsi="Sylfaen" w:cs="Calibri"/>
                <w:color w:val="000000"/>
                <w:sz w:val="22"/>
                <w:szCs w:val="22"/>
              </w:rPr>
            </w:pPr>
            <w:r w:rsidRPr="00A67722">
              <w:rPr>
                <w:rFonts w:ascii="Sylfaen" w:hAnsi="Sylfaen" w:cs="Calibri"/>
                <w:color w:val="000000"/>
                <w:sz w:val="22"/>
                <w:szCs w:val="22"/>
              </w:rPr>
              <w:t> </w:t>
            </w:r>
          </w:p>
        </w:tc>
        <w:tc>
          <w:tcPr>
            <w:tcW w:w="1380" w:type="dxa"/>
            <w:tcBorders>
              <w:top w:val="nil"/>
              <w:left w:val="nil"/>
              <w:bottom w:val="single" w:sz="4" w:space="0" w:color="auto"/>
              <w:right w:val="single" w:sz="4" w:space="0" w:color="auto"/>
            </w:tcBorders>
            <w:shd w:val="clear" w:color="000000" w:fill="FFFFFF"/>
            <w:noWrap/>
            <w:vAlign w:val="bottom"/>
          </w:tcPr>
          <w:p w:rsidR="00A67722" w:rsidRPr="00A67722" w:rsidRDefault="00A67722" w:rsidP="00A67722">
            <w:pPr>
              <w:jc w:val="right"/>
              <w:rPr>
                <w:rFonts w:ascii="Sylfaen" w:hAnsi="Sylfaen" w:cs="Calibri"/>
                <w:b/>
                <w:bCs/>
                <w:sz w:val="22"/>
                <w:szCs w:val="22"/>
              </w:rPr>
            </w:pPr>
          </w:p>
        </w:tc>
      </w:tr>
    </w:tbl>
    <w:p w:rsidR="00180D7C" w:rsidRPr="00E874D5" w:rsidRDefault="00180D7C" w:rsidP="000016BA">
      <w:pPr>
        <w:rPr>
          <w:rFonts w:ascii="GHEA Grapalat" w:hAnsi="GHEA Grapalat"/>
          <w:b/>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CB739F">
        <w:rPr>
          <w:rFonts w:ascii="GHEA Grapalat" w:hAnsi="GHEA Grapalat"/>
          <w:sz w:val="20"/>
          <w:lang w:val="af-ZA"/>
        </w:rPr>
        <w:t xml:space="preserve">№178/GArm/26_5.4_017/18.05.26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F26F23" w:rsidP="00227A4E">
      <w:pPr>
        <w:jc w:val="center"/>
        <w:rPr>
          <w:rFonts w:ascii="GHEA Grapalat" w:hAnsi="GHEA Grapalat"/>
          <w:b/>
          <w:szCs w:val="28"/>
          <w:lang w:val="hy-AM"/>
        </w:rPr>
      </w:pPr>
      <w:r w:rsidRPr="00F26F23">
        <w:rPr>
          <w:rFonts w:ascii="GHEA Grapalat" w:hAnsi="GHEA Grapalat"/>
          <w:b/>
          <w:szCs w:val="28"/>
          <w:lang w:val="hy-AM"/>
        </w:rPr>
        <w:t>«Շիրակի մարզի Արթիկ քաղաքի Թումանյան փողոցը սնող մ/ճ և ց/ճ, Աբովյան փողոց 13բ/բ-ից Թումանյան խաչմերուկ սնող ց/ճ, Տերյան փողոցը սնող մ/ճ և ց/ճ ստորգետնյա գազատարերի վերատեղադրում և մեկուսիչ ծածկույթի վերանորոգում»</w:t>
      </w:r>
      <w:r w:rsidR="00E874D5" w:rsidRPr="00E874D5">
        <w:rPr>
          <w:rFonts w:ascii="GHEA Grapalat" w:hAnsi="GHEA Grapalat"/>
          <w:b/>
          <w:szCs w:val="28"/>
          <w:lang w:val="hy-AM"/>
        </w:rPr>
        <w:t xml:space="preserve"> </w:t>
      </w:r>
      <w:r w:rsidR="009D1C2A" w:rsidRPr="009D1C2A">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CB739F"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№178/GArm/26_5.4_017/18.05.26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CB739F">
        <w:rPr>
          <w:rFonts w:ascii="GHEA Grapalat" w:hAnsi="GHEA Grapalat"/>
          <w:sz w:val="16"/>
          <w:szCs w:val="16"/>
          <w:lang w:val="af-ZA"/>
        </w:rPr>
        <w:t xml:space="preserve">№178/GArm/26_5.4_017/18.05.26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CB739F">
        <w:rPr>
          <w:rFonts w:ascii="GHEA Grapalat" w:hAnsi="GHEA Grapalat"/>
          <w:sz w:val="18"/>
          <w:szCs w:val="18"/>
          <w:lang w:val="af-ZA"/>
        </w:rPr>
        <w:t xml:space="preserve">№178/GArm/26_5.4_017/18.05.26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CB739F">
              <w:rPr>
                <w:rFonts w:ascii="GHEA Grapalat" w:hAnsi="GHEA Grapalat" w:cs="Sylfaen"/>
                <w:b/>
                <w:i w:val="0"/>
                <w:sz w:val="16"/>
                <w:szCs w:val="18"/>
                <w:lang w:val="en-US"/>
              </w:rPr>
              <w:t xml:space="preserve">№178/GArm/26_5.4_017/18.05.26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CB739F">
              <w:rPr>
                <w:rFonts w:ascii="GHEA Grapalat" w:hAnsi="GHEA Grapalat" w:cs="Sylfaen"/>
                <w:b/>
                <w:i w:val="0"/>
                <w:sz w:val="16"/>
                <w:szCs w:val="18"/>
                <w:lang w:val="en-US"/>
              </w:rPr>
              <w:t xml:space="preserve">№178/GArm/26_5.4_017/18.05.26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A86FD1"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A86FD1"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F9" w:rsidRDefault="00D976F9" w:rsidP="004D3B9B">
      <w:r>
        <w:separator/>
      </w:r>
    </w:p>
  </w:endnote>
  <w:endnote w:type="continuationSeparator" w:id="0">
    <w:p w:rsidR="00D976F9" w:rsidRDefault="00D976F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F9" w:rsidRDefault="00D976F9" w:rsidP="004D3B9B">
      <w:r>
        <w:separator/>
      </w:r>
    </w:p>
  </w:footnote>
  <w:footnote w:type="continuationSeparator" w:id="0">
    <w:p w:rsidR="00D976F9" w:rsidRDefault="00D976F9"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3190"/>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67722"/>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6FD1"/>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39F"/>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6F9"/>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26F23"/>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9ED19"/>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6757829">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3A78D-EB0D-4283-A134-D12E5F1B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57</Pages>
  <Words>21426</Words>
  <Characters>122133</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34</cp:revision>
  <cp:lastPrinted>2020-03-24T10:25:00Z</cp:lastPrinted>
  <dcterms:created xsi:type="dcterms:W3CDTF">2026-03-24T06:07:00Z</dcterms:created>
  <dcterms:modified xsi:type="dcterms:W3CDTF">2026-05-18T06:21:00Z</dcterms:modified>
</cp:coreProperties>
</file>